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color w:val="ff0000"/>
        </w:rPr>
      </w:pPr>
      <w:r w:rsidDel="00000000" w:rsidR="00000000" w:rsidRPr="00000000">
        <w:rPr>
          <w:b w:val="1"/>
          <w:sz w:val="24"/>
          <w:szCs w:val="24"/>
          <w:rtl w:val="0"/>
        </w:rPr>
        <w:t xml:space="preserve">Cinema Association and Ithra Announce Saudi Film Festival highlights, including 68 MENA and International Films </w:t>
        <w:br w:type="textWrapping"/>
      </w:r>
      <w:r w:rsidDel="00000000" w:rsidR="00000000" w:rsidRPr="00000000">
        <w:rPr>
          <w:color w:val="ff0000"/>
          <w:rtl w:val="0"/>
        </w:rPr>
        <w:t xml:space="preserve">For immediate release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Dhahran – March 10, 2025:</w:t>
      </w:r>
      <w:r w:rsidDel="00000000" w:rsidR="00000000" w:rsidRPr="00000000">
        <w:rPr>
          <w:rtl w:val="0"/>
        </w:rPr>
        <w:t xml:space="preserve"> The Cinema Association and the King Abdulaziz Center for World Culture (Ithra) have unveiled key highlights of the 11th edition of the Saudi Film Festival, taking place from 17-23 April and supported by the Film Commission. The longest-running film festival in the Kingdom will showcase a total of 68 screenings, including 36 feature, short, and documentary films from Saudi Arabia and the Gulf, under this year’s theme, </w:t>
      </w:r>
      <w:r w:rsidDel="00000000" w:rsidR="00000000" w:rsidRPr="00000000">
        <w:rPr>
          <w:b w:val="1"/>
          <w:rtl w:val="0"/>
        </w:rPr>
        <w:t xml:space="preserve">Cinema of Identity.</w:t>
      </w:r>
    </w:p>
    <w:p w:rsidR="00000000" w:rsidDel="00000000" w:rsidP="00000000" w:rsidRDefault="00000000" w:rsidRPr="00000000" w14:paraId="00000003">
      <w:pPr>
        <w:spacing w:after="240" w:before="240" w:lineRule="auto"/>
        <w:rPr/>
      </w:pPr>
      <w:r w:rsidDel="00000000" w:rsidR="00000000" w:rsidRPr="00000000">
        <w:rPr>
          <w:rtl w:val="0"/>
        </w:rPr>
        <w:t xml:space="preserve">The Festival will also feature 12 short films from Arab and international filmmakers that contribute to this year’s focus, presented in collaboration with the prestigious Clermont-Ferrand International Short Film Festival in France. Accompanied by a cultural symposium, this program will explore individual, national, and cultural identities while addressing their challenges and transformations.</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 Festival’s Production Market returns to Ithra’s Great Hall, this year increasing in scale to showcase 22 projects from 22 different exhibitors. Production Markets have long been a feature of international film festivals but the Saudi Film Festival’s version is the only one that serves the Saudi film industry exclusively, offering various opportunities for filmmakers to connect with industry professionals and possible partners to bring projects to life.</w:t>
      </w:r>
    </w:p>
    <w:p w:rsidR="00000000" w:rsidDel="00000000" w:rsidP="00000000" w:rsidRDefault="00000000" w:rsidRPr="00000000" w14:paraId="00000005">
      <w:pPr>
        <w:spacing w:after="240" w:before="240" w:lineRule="auto"/>
        <w:rPr>
          <w:i w:val="1"/>
        </w:rPr>
      </w:pPr>
      <w:r w:rsidDel="00000000" w:rsidR="00000000" w:rsidRPr="00000000">
        <w:rPr>
          <w:rtl w:val="0"/>
        </w:rPr>
        <w:t xml:space="preserve">Saudi Film Festival Director Ahmed Al-Mulla says: </w:t>
      </w:r>
      <w:r w:rsidDel="00000000" w:rsidR="00000000" w:rsidRPr="00000000">
        <w:rPr>
          <w:i w:val="1"/>
          <w:rtl w:val="0"/>
        </w:rPr>
        <w:t xml:space="preserve">"The Festival acts as an exceptional platform for filmmakers to present their cinematic creativity and bring their stories to audiences. It offers a diverse selection of films and programs focusing on successful production experiences in the cinematic landscape, allowing attendees to engage with and learn from industry professionals."</w:t>
      </w:r>
    </w:p>
    <w:p w:rsidR="00000000" w:rsidDel="00000000" w:rsidP="00000000" w:rsidRDefault="00000000" w:rsidRPr="00000000" w14:paraId="00000006">
      <w:pPr>
        <w:spacing w:after="240" w:before="240" w:lineRule="auto"/>
        <w:rPr/>
      </w:pPr>
      <w:r w:rsidDel="00000000" w:rsidR="00000000" w:rsidRPr="00000000">
        <w:rPr>
          <w:rtl w:val="0"/>
        </w:rPr>
        <w:t xml:space="preserve">Vice President of Saudi Film Festival Mansour Al-Badran adds that this year’s edition aligns with the evolving cinematic landscape, where filmmaking serves as a window to both vision and storytelling. </w:t>
      </w:r>
      <w:r w:rsidDel="00000000" w:rsidR="00000000" w:rsidRPr="00000000">
        <w:rPr>
          <w:i w:val="1"/>
          <w:rtl w:val="0"/>
        </w:rPr>
        <w:t xml:space="preserve">"Many of these films will have their premiere screenings at the Saudi Film Festival,"</w:t>
      </w:r>
      <w:r w:rsidDel="00000000" w:rsidR="00000000" w:rsidRPr="00000000">
        <w:rPr>
          <w:rtl w:val="0"/>
        </w:rPr>
        <w:t xml:space="preserve"> he notes “</w:t>
      </w:r>
      <w:r w:rsidDel="00000000" w:rsidR="00000000" w:rsidRPr="00000000">
        <w:rPr>
          <w:i w:val="1"/>
          <w:rtl w:val="0"/>
        </w:rPr>
        <w:t xml:space="preserve">and Ithra as a venue has increased the number of screens to ensure greater accessibility to the films. We are proud that the Festival supports creatives within this industry through facilitating fruitful exchange, while serving as an opportunity for the public to discover and engage with cinematic storytelling</w:t>
      </w: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The Festival will also serve as an awards platform, with prizes to be awarded across multiple categories during the Festival. A total of 285 films have been submitted for the film awards, 116 entries for the production market competition, and 313 scripts for the unproduced screenplay competition. </w:t>
        <w:br w:type="textWrapping"/>
        <w:br w:type="textWrapping"/>
        <w:t xml:space="preserve">Throughout the festival, audiences will also have the opportunity to explore </w:t>
      </w:r>
      <w:r w:rsidDel="00000000" w:rsidR="00000000" w:rsidRPr="00000000">
        <w:rPr>
          <w:b w:val="1"/>
          <w:rtl w:val="0"/>
        </w:rPr>
        <w:t xml:space="preserve">Japanese cinema</w:t>
      </w:r>
      <w:r w:rsidDel="00000000" w:rsidR="00000000" w:rsidRPr="00000000">
        <w:rPr>
          <w:rtl w:val="0"/>
        </w:rPr>
        <w:t xml:space="preserve">, featuring screenings of eight feature and short films, as well as expert discussions with Japanese filmmakers. The short film screenings are organized in collaboration with the renowned Short Shorts Film Festival &amp; Asia in Japan. Moreover, a dedicated cultural seminar and an advanced masterclass will delve into the Japanese cinematic experience.</w:t>
      </w:r>
    </w:p>
    <w:p w:rsidR="00000000" w:rsidDel="00000000" w:rsidP="00000000" w:rsidRDefault="00000000" w:rsidRPr="00000000" w14:paraId="00000008">
      <w:pPr>
        <w:spacing w:after="240" w:before="240" w:lineRule="auto"/>
        <w:rPr/>
      </w:pPr>
      <w:r w:rsidDel="00000000" w:rsidR="00000000" w:rsidRPr="00000000">
        <w:rPr>
          <w:rtl w:val="0"/>
        </w:rPr>
        <w:t xml:space="preserve">The festival will continue hosting </w:t>
      </w:r>
      <w:r w:rsidDel="00000000" w:rsidR="00000000" w:rsidRPr="00000000">
        <w:rPr>
          <w:b w:val="1"/>
          <w:rtl w:val="0"/>
        </w:rPr>
        <w:t xml:space="preserve">script development workshops for both short and feature-length screenplays</w:t>
      </w:r>
      <w:r w:rsidDel="00000000" w:rsidR="00000000" w:rsidRPr="00000000">
        <w:rPr>
          <w:rtl w:val="0"/>
        </w:rPr>
        <w:t xml:space="preserve">, including advisory sessions with professional mentors. </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About the King Abdulaziz Center for World Culture (Ithra)</w:t>
      </w:r>
    </w:p>
    <w:p w:rsidR="00000000" w:rsidDel="00000000" w:rsidP="00000000" w:rsidRDefault="00000000" w:rsidRPr="00000000" w14:paraId="0000000B">
      <w:pPr>
        <w:spacing w:after="240" w:before="240" w:lineRule="auto"/>
        <w:rPr/>
      </w:pPr>
      <w:r w:rsidDel="00000000" w:rsidR="00000000" w:rsidRPr="00000000">
        <w:rPr>
          <w:rtl w:val="0"/>
        </w:rPr>
        <w:t xml:space="preserve">The King Abdulaziz Center for World Culture (Ithra) is a world-class cultural destination and the beating heart of Saudi Arabia’s culture &amp; creative industry. Ithra is Saudi Aramco’s most ambitious CSR initiative and the largest cultural contribution to the Kingdom. Through a compelling series of programs, workshops, performances, events, exhibitions and other various initiatives, Ithra creates world-class experiences that bring together culture, innovation and knowledge designed to appeal to everyone. Ithra’s components include the Idea Lab, Library, Theatre, Museum, Cinema, Great Hall, Energy Exhibit, Children’s Museum and Ithra Tower. </w:t>
      </w:r>
    </w:p>
    <w:p w:rsidR="00000000" w:rsidDel="00000000" w:rsidP="00000000" w:rsidRDefault="00000000" w:rsidRPr="00000000" w14:paraId="0000000C">
      <w:pPr>
        <w:spacing w:after="240" w:before="240" w:lineRule="auto"/>
        <w:rPr/>
      </w:pPr>
      <w:r w:rsidDel="00000000" w:rsidR="00000000" w:rsidRPr="00000000">
        <w:rPr>
          <w:rtl w:val="0"/>
        </w:rPr>
        <w:t xml:space="preserve">For more information, please visit www.ithra.com. Follow Ithra on social media: Facebook (King Abdulaziz Center for World Culture), X (@Ithra) and Instagram (@Ithra) #Ithra. </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303" w:top="1303" w:left="1303" w:right="13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10223500</wp:posOffset>
              </wp:positionV>
              <wp:extent cx="7569835" cy="276225"/>
              <wp:effectExtent b="0" l="0" r="0" t="0"/>
              <wp:wrapNone/>
              <wp:docPr descr="{&quot;HashCode&quot;:-1230239927,&quot;Height&quot;:841.0,&quot;Width&quot;:595.0,&quot;Placement&quot;:&quot;Footer&quot;,&quot;Index&quot;:&quot;Primary&quot;,&quot;Section&quot;:1,&quot;Top&quot;:0.0,&quot;Left&quot;:0.0}" id="24" name=""/>
              <a:graphic>
                <a:graphicData uri="http://schemas.microsoft.com/office/word/2010/wordprocessingShape">
                  <wps:wsp>
                    <wps:cNvSpPr/>
                    <wps:cNvPr id="3" name="Shape 3"/>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Saudi Aramco: Company General Use</w:t>
                          </w: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10223500</wp:posOffset>
              </wp:positionV>
              <wp:extent cx="7569835" cy="276225"/>
              <wp:effectExtent b="0" l="0" r="0" t="0"/>
              <wp:wrapNone/>
              <wp:docPr descr="{&quot;HashCode&quot;:-1230239927,&quot;Height&quot;:841.0,&quot;Width&quot;:595.0,&quot;Placement&quot;:&quot;Footer&quot;,&quot;Index&quot;:&quot;Primary&quot;,&quot;Section&quot;:1,&quot;Top&quot;:0.0,&quot;Left&quot;:0.0}" id="24" name="image3.png"/>
              <a:graphic>
                <a:graphicData uri="http://schemas.openxmlformats.org/drawingml/2006/picture">
                  <pic:pic>
                    <pic:nvPicPr>
                      <pic:cNvPr descr="{&quot;HashCode&quot;:-1230239927,&quot;Height&quot;:841.0,&quot;Width&quot;:595.0,&quot;Placement&quot;:&quot;Footer&quot;,&quot;Index&quot;:&quot;Primary&quot;,&quot;Section&quot;:1,&quot;Top&quot;:0.0,&quot;Left&quot;:0.0}" id="0" name="image3.png"/>
                      <pic:cNvPicPr preferRelativeResize="0"/>
                    </pic:nvPicPr>
                    <pic:blipFill>
                      <a:blip r:embed="rId1"/>
                      <a:srcRect/>
                      <a:stretch>
                        <a:fillRect/>
                      </a:stretch>
                    </pic:blipFill>
                    <pic:spPr>
                      <a:xfrm>
                        <a:off x="0" y="0"/>
                        <a:ext cx="7569835" cy="2762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316865"/>
              <wp:effectExtent b="0" l="0" r="0" t="0"/>
              <wp:wrapNone/>
              <wp:docPr descr="{&quot;HashCode&quot;:1503687135,&quot;Height&quot;:841.0,&quot;Width&quot;:595.0,&quot;Placement&quot;:&quot;Header&quot;,&quot;Index&quot;:&quot;Primary&quot;,&quot;Section&quot;:1,&quot;Top&quot;:0.0,&quot;Left&quot;:0.0}" id="23" name=""/>
              <a:graphic>
                <a:graphicData uri="http://schemas.microsoft.com/office/word/2010/wordprocessingShape">
                  <wps:wsp>
                    <wps:cNvSpPr/>
                    <wps:cNvPr id="2" name="Shape 2"/>
                    <wps:spPr>
                      <a:xfrm>
                        <a:off x="1565845" y="3626330"/>
                        <a:ext cx="7560310" cy="3073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316865"/>
              <wp:effectExtent b="0" l="0" r="0" t="0"/>
              <wp:wrapNone/>
              <wp:docPr descr="{&quot;HashCode&quot;:1503687135,&quot;Height&quot;:841.0,&quot;Width&quot;:595.0,&quot;Placement&quot;:&quot;Header&quot;,&quot;Index&quot;:&quot;Primary&quot;,&quot;Section&quot;:1,&quot;Top&quot;:0.0,&quot;Left&quot;:0.0}" id="23" name="image2.png"/>
              <a:graphic>
                <a:graphicData uri="http://schemas.openxmlformats.org/drawingml/2006/picture">
                  <pic:pic>
                    <pic:nvPicPr>
                      <pic:cNvPr descr="{&quot;HashCode&quot;:1503687135,&quot;Height&quot;:841.0,&quot;Width&quot;:595.0,&quot;Placement&quot;:&quot;Header&quot;,&quot;Index&quot;:&quot;Primary&quot;,&quot;Section&quot;:1,&quot;Top&quot;:0.0,&quot;Left&quot;:0.0}" id="0" name="image2.png"/>
                      <pic:cNvPicPr preferRelativeResize="0"/>
                    </pic:nvPicPr>
                    <pic:blipFill>
                      <a:blip r:embed="rId1"/>
                      <a:srcRect/>
                      <a:stretch>
                        <a:fillRect/>
                      </a:stretch>
                    </pic:blipFill>
                    <pic:spPr>
                      <a:xfrm>
                        <a:off x="0" y="0"/>
                        <a:ext cx="7569835" cy="31686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842645" cy="816610"/>
          <wp:effectExtent b="0" l="0" r="0" t="0"/>
          <wp:docPr descr="Logo&#10;&#10;Description automatically generated" id="25" name="image1.png"/>
          <a:graphic>
            <a:graphicData uri="http://schemas.openxmlformats.org/drawingml/2006/picture">
              <pic:pic>
                <pic:nvPicPr>
                  <pic:cNvPr descr="Logo&#10;&#10;Description automatically generated" id="0" name="image1.png"/>
                  <pic:cNvPicPr preferRelativeResize="0"/>
                </pic:nvPicPr>
                <pic:blipFill>
                  <a:blip r:embed="rId2"/>
                  <a:srcRect b="0" l="0" r="0" t="0"/>
                  <a:stretch>
                    <a:fillRect/>
                  </a:stretch>
                </pic:blipFill>
                <pic:spPr>
                  <a:xfrm>
                    <a:off x="0" y="0"/>
                    <a:ext cx="842645" cy="81661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CF7FA8"/>
    <w:pPr>
      <w:tabs>
        <w:tab w:val="center" w:pos="4680"/>
        <w:tab w:val="right" w:pos="9360"/>
      </w:tabs>
      <w:spacing w:line="240" w:lineRule="auto"/>
    </w:pPr>
  </w:style>
  <w:style w:type="character" w:styleId="HeaderChar" w:customStyle="1">
    <w:name w:val="Header Char"/>
    <w:basedOn w:val="DefaultParagraphFont"/>
    <w:link w:val="Header"/>
    <w:uiPriority w:val="99"/>
    <w:rsid w:val="00CF7FA8"/>
  </w:style>
  <w:style w:type="paragraph" w:styleId="Footer">
    <w:name w:val="footer"/>
    <w:basedOn w:val="Normal"/>
    <w:link w:val="FooterChar"/>
    <w:uiPriority w:val="99"/>
    <w:unhideWhenUsed w:val="1"/>
    <w:rsid w:val="00CF7FA8"/>
    <w:pPr>
      <w:tabs>
        <w:tab w:val="center" w:pos="4680"/>
        <w:tab w:val="right" w:pos="9360"/>
      </w:tabs>
      <w:spacing w:line="240" w:lineRule="auto"/>
    </w:pPr>
  </w:style>
  <w:style w:type="character" w:styleId="FooterChar" w:customStyle="1">
    <w:name w:val="Footer Char"/>
    <w:basedOn w:val="DefaultParagraphFont"/>
    <w:link w:val="Footer"/>
    <w:uiPriority w:val="99"/>
    <w:rsid w:val="00CF7FA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Sv1Pd6MbC7dwPYGCir/RKHi3pQ==">CgMxLjA4AHIhMU4yS0lmTWp1WTBTeWp2NXIzRkNGeVl3blhaZlZkbDdI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2025-03-10T10:07:00Z</dcterms:created>
  <dc:creator>Alnemari, Abeer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2025-03-10T10:07:26.8173370Z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c30767cf-dec7-43e3-a6ed-d9c22e612490</vt:lpwstr>
  </property>
  <property fmtid="{D5CDD505-2E9C-101B-9397-08002B2CF9AE}" pid="9" name="MSIP_Label_b176ec7a-5c1c-40d8-b713-034aac8a6cec_Extended_MSFT_Method">
    <vt:lpwstr>Automatic</vt:lpwstr>
  </property>
  <property fmtid="{D5CDD505-2E9C-101B-9397-08002B2CF9AE}" pid="10" name="Sensitivity">
    <vt:lpwstr>Company General Use</vt:lpwstr>
  </property>
</Properties>
</file>